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tabs>
          <w:tab w:val="left" w:pos="610"/>
        </w:tabs>
        <w:ind w:left="0"/>
        <w:jc w:val="both"/>
        <w:outlineLvl w:val="1"/>
        <w:rPr>
          <w:rFonts w:ascii="黑体" w:eastAsia="黑体" w:cs="华文楷体"/>
          <w:bCs/>
          <w:sz w:val="44"/>
          <w:szCs w:val="44"/>
          <w:lang w:val="en-US" w:eastAsia="zh-CN"/>
        </w:rPr>
      </w:pPr>
      <w:r>
        <w:rPr>
          <w:rFonts w:ascii="黑体" w:eastAsia="黑体" w:cs="华文楷体" w:hint="eastAsia"/>
          <w:bCs/>
          <w:sz w:val="44"/>
          <w:szCs w:val="44"/>
          <w:lang w:val="en-US" w:eastAsia="zh-CN"/>
        </w:rPr>
        <w:t>门诊特殊慢病报销流程、病种及</w:t>
      </w:r>
      <w:r>
        <w:rPr>
          <w:rFonts w:ascii="黑体" w:eastAsia="黑体" w:cs="华文楷体"/>
          <w:bCs/>
          <w:sz w:val="44"/>
          <w:szCs w:val="44"/>
          <w:lang w:val="en-US" w:eastAsia="zh-CN"/>
        </w:rPr>
        <w:t>医疗待遇</w:t>
      </w:r>
    </w:p>
    <w:p>
      <w:pPr>
        <w:tabs>
          <w:tab w:val="left" w:pos="610"/>
        </w:tabs>
        <w:ind w:firstLineChars="200" w:firstLine="640"/>
        <w:jc w:val="both"/>
        <w:outlineLvl w:val="1"/>
        <w:rPr>
          <w:rFonts w:ascii="黑体" w:eastAsia="黑体" w:cs="华文楷体" w:hint="eastAsia"/>
          <w:bCs/>
          <w:sz w:val="32"/>
          <w:szCs w:val="32"/>
          <w:lang w:eastAsia="zh-CN"/>
        </w:rPr>
      </w:pPr>
    </w:p>
    <w:p>
      <w:pPr>
        <w:tabs>
          <w:tab w:val="left" w:pos="610"/>
        </w:tabs>
        <w:ind w:left="0"/>
        <w:jc w:val="both"/>
        <w:outlineLvl w:val="1"/>
        <w:rPr>
          <w:rFonts w:ascii="黑体" w:eastAsia="黑体" w:cs="华文楷体" w:hint="eastAsia"/>
          <w:bCs/>
          <w:sz w:val="32"/>
          <w:szCs w:val="32"/>
          <w:lang w:val="en-US" w:eastAsia="zh-CN"/>
        </w:rPr>
      </w:pPr>
      <w:r>
        <w:rPr>
          <w:rFonts w:ascii="黑体" w:eastAsia="黑体" w:cs="华文楷体" w:hint="eastAsia"/>
          <w:bCs/>
          <w:sz w:val="32"/>
          <w:szCs w:val="32"/>
          <w:lang w:eastAsia="zh-CN"/>
        </w:rPr>
        <w:t>一、</w:t>
      </w:r>
      <w:r>
        <w:rPr>
          <w:rFonts w:ascii="黑体" w:eastAsia="黑体" w:cs="华文楷体"/>
          <w:bCs/>
          <w:sz w:val="32"/>
          <w:szCs w:val="32"/>
        </w:rPr>
        <w:t>门诊特殊慢性病</w:t>
      </w:r>
      <w:r>
        <w:rPr>
          <w:rFonts w:ascii="黑体" w:eastAsia="黑体" w:cs="华文楷体" w:hint="eastAsia"/>
          <w:bCs/>
          <w:sz w:val="32"/>
          <w:szCs w:val="32"/>
          <w:lang w:eastAsia="zh-CN"/>
        </w:rPr>
        <w:t>医保报销流程</w:t>
      </w:r>
    </w:p>
    <w:p>
      <w:pPr>
        <w:adjustRightInd w:val="0"/>
        <w:ind w:firstLineChars="200" w:firstLine="640"/>
        <w:jc w:val="left"/>
        <w:rPr>
          <w:rFonts w:ascii="仿宋" w:eastAsia="仿宋" w:cs="仿宋" w:hint="eastAsia"/>
          <w:i w:val="0"/>
          <w:iCs w:val="0"/>
          <w:caps w:val="0"/>
          <w:smallCaps w:val="0"/>
          <w:color w:val="333333"/>
          <w:spacing w:val="0"/>
          <w:sz w:val="32"/>
          <w:szCs w:val="32"/>
          <w:shd w:val="clear" w:color="auto" w:fill="FFFFFF"/>
          <w:lang w:val="en-US" w:eastAsia="zh-CN"/>
        </w:rPr>
      </w:pPr>
      <w:r>
        <w:rPr>
          <w:rFonts w:ascii="仿宋" w:eastAsia="仿宋" w:cs="仿宋" w:hint="eastAsia"/>
          <w:i w:val="0"/>
          <w:iCs w:val="0"/>
          <w:caps w:val="0"/>
          <w:smallCaps w:val="0"/>
          <w:color w:val="auto"/>
          <w:spacing w:val="0"/>
          <w:sz w:val="32"/>
          <w:szCs w:val="32"/>
          <w:shd w:val="clear" w:color="auto" w:fill="FFFFFF"/>
          <w:lang w:eastAsia="zh-CN"/>
        </w:rPr>
        <w:t>只</w:t>
      </w:r>
      <w:r>
        <w:rPr>
          <w:rFonts w:ascii="仿宋" w:eastAsia="仿宋" w:cs="仿宋" w:hint="eastAsia"/>
          <w:i w:val="0"/>
          <w:iCs w:val="0"/>
          <w:caps w:val="0"/>
          <w:smallCaps w:val="0"/>
          <w:color w:val="auto"/>
          <w:spacing w:val="0"/>
          <w:sz w:val="32"/>
          <w:szCs w:val="32"/>
          <w:shd w:val="clear" w:color="auto" w:fill="FFFFFF"/>
        </w:rPr>
        <w:t>针对于所</w:t>
      </w:r>
      <w:r>
        <w:rPr>
          <w:rFonts w:ascii="仿宋" w:eastAsia="仿宋" w:cs="仿宋" w:hint="eastAsia"/>
          <w:i w:val="0"/>
          <w:iCs w:val="0"/>
          <w:caps w:val="0"/>
          <w:smallCaps w:val="0"/>
          <w:color w:val="auto"/>
          <w:spacing w:val="0"/>
          <w:sz w:val="32"/>
          <w:szCs w:val="32"/>
          <w:shd w:val="clear" w:color="auto" w:fill="FFFFFF"/>
          <w:lang w:val="en-US" w:eastAsia="zh-CN"/>
        </w:rPr>
        <w:t>办理</w:t>
      </w:r>
      <w:r>
        <w:rPr>
          <w:rFonts w:ascii="仿宋" w:eastAsia="仿宋" w:cs="仿宋" w:hint="eastAsia"/>
          <w:i w:val="0"/>
          <w:iCs w:val="0"/>
          <w:caps w:val="0"/>
          <w:smallCaps w:val="0"/>
          <w:color w:val="auto"/>
          <w:spacing w:val="0"/>
          <w:sz w:val="32"/>
          <w:szCs w:val="32"/>
          <w:shd w:val="clear" w:color="auto" w:fill="FFFFFF"/>
        </w:rPr>
        <w:t>的慢性病</w:t>
      </w:r>
      <w:r>
        <w:rPr>
          <w:rFonts w:ascii="仿宋" w:eastAsia="仿宋" w:cs="仿宋" w:hint="eastAsia"/>
          <w:i w:val="0"/>
          <w:iCs w:val="0"/>
          <w:caps w:val="0"/>
          <w:smallCaps w:val="0"/>
          <w:color w:val="auto"/>
          <w:spacing w:val="0"/>
          <w:sz w:val="32"/>
          <w:szCs w:val="32"/>
          <w:shd w:val="clear" w:color="auto" w:fill="FFFFFF"/>
          <w:lang w:eastAsia="zh-CN"/>
        </w:rPr>
        <w:t>种才</w:t>
      </w:r>
      <w:r>
        <w:rPr>
          <w:rFonts w:ascii="仿宋" w:eastAsia="仿宋" w:cs="仿宋" w:hint="eastAsia"/>
          <w:i w:val="0"/>
          <w:iCs w:val="0"/>
          <w:caps w:val="0"/>
          <w:smallCaps w:val="0"/>
          <w:color w:val="auto"/>
          <w:spacing w:val="0"/>
          <w:sz w:val="32"/>
          <w:szCs w:val="32"/>
          <w:shd w:val="clear" w:color="auto" w:fill="FFFFFF"/>
        </w:rPr>
        <w:t>能</w:t>
      </w:r>
      <w:r>
        <w:rPr>
          <w:rFonts w:ascii="仿宋" w:eastAsia="仿宋" w:cs="仿宋" w:hint="eastAsia"/>
          <w:i w:val="0"/>
          <w:iCs w:val="0"/>
          <w:caps w:val="0"/>
          <w:smallCaps w:val="0"/>
          <w:color w:val="333333"/>
          <w:spacing w:val="0"/>
          <w:sz w:val="32"/>
          <w:szCs w:val="32"/>
          <w:shd w:val="clear" w:color="auto" w:fill="FFFFFF"/>
        </w:rPr>
        <w:t>够报销</w:t>
      </w:r>
      <w:r>
        <w:rPr>
          <w:rFonts w:ascii="仿宋" w:eastAsia="仿宋" w:cs="仿宋" w:hint="eastAsia"/>
          <w:i w:val="0"/>
          <w:iCs w:val="0"/>
          <w:caps w:val="0"/>
          <w:smallCaps w:val="0"/>
          <w:color w:val="333333"/>
          <w:spacing w:val="0"/>
          <w:sz w:val="32"/>
          <w:szCs w:val="32"/>
          <w:shd w:val="clear" w:color="auto" w:fill="FFFFFF"/>
          <w:lang w:eastAsia="zh-CN"/>
        </w:rPr>
        <w:t>，</w:t>
      </w:r>
      <w:r>
        <w:rPr>
          <w:rFonts w:ascii="仿宋" w:eastAsia="仿宋" w:cs="仿宋" w:hint="eastAsia"/>
          <w:sz w:val="32"/>
          <w:szCs w:val="32"/>
        </w:rPr>
        <w:t>用药与诊断相符</w:t>
      </w:r>
      <w:r>
        <w:rPr>
          <w:rFonts w:ascii="仿宋" w:eastAsia="仿宋" w:cs="仿宋" w:hint="eastAsia"/>
          <w:sz w:val="32"/>
          <w:szCs w:val="32"/>
          <w:lang w:eastAsia="zh-CN"/>
        </w:rPr>
        <w:t>，</w:t>
      </w:r>
      <w:r>
        <w:rPr>
          <w:rFonts w:ascii="仿宋" w:eastAsia="仿宋" w:cs="仿宋" w:hint="eastAsia"/>
          <w:i w:val="0"/>
          <w:iCs w:val="0"/>
          <w:caps w:val="0"/>
          <w:smallCaps w:val="0"/>
          <w:color w:val="333333"/>
          <w:spacing w:val="0"/>
          <w:sz w:val="32"/>
          <w:szCs w:val="32"/>
          <w:shd w:val="clear" w:color="auto" w:fill="FFFFFF"/>
          <w:lang w:val="en-US" w:eastAsia="zh-CN"/>
        </w:rPr>
        <w:t>和病种无关的检查和药品不给予报销。开具处方：特殊慢性病种的药品、检查应与非特殊慢性病种分开开。原则上开药量为1个月，对确有需要的慢性病参保人员，经诊治医生评估后，一次处方药量可在遵循医嘱的条件下延长至12周，医保可实行按长期处方结算。</w:t>
      </w:r>
    </w:p>
    <w:p>
      <w:pPr>
        <w:keepNext w:val="0"/>
        <w:keepLines w:val="0"/>
        <w:pageBreakBefore w:val="0"/>
        <w:widowControl w:val="0"/>
        <w:kinsoku/>
        <w:wordWrap/>
        <w:overflowPunct/>
        <w:topLinePunct w:val="0"/>
        <w:autoSpaceDE/>
        <w:autoSpaceDN/>
        <w:bidi w:val="0"/>
        <w:adjustRightInd/>
        <w:snapToGrid/>
        <w:spacing w:line="600" w:lineRule="exact"/>
        <w:ind w:firstLineChars="300" w:firstLine="960"/>
        <w:jc w:val="left"/>
        <w:textAlignment w:val="auto"/>
        <w:rPr>
          <w:rFonts w:ascii="仿宋" w:eastAsia="仿宋" w:cs="仿宋" w:hint="eastAsia"/>
          <w:sz w:val="28"/>
          <w:szCs w:val="28"/>
          <w:lang w:val="en-US" w:eastAsia="zh-CN"/>
        </w:rPr>
      </w:pPr>
      <w:r>
        <w:rPr>
          <w:rFonts w:ascii="仿宋" w:eastAsia="仿宋" w:cs="仿宋" w:hint="eastAsia"/>
          <w:sz w:val="32"/>
        </w:rPr>
        <mc:AlternateContent>
          <mc:Choice Requires="wps">
            <w:drawing>
              <wp:anchor distT="0" distB="0" distL="114298" distR="114298" simplePos="0" relativeHeight="19" behindDoc="0" locked="0" layoutInCell="1" hidden="0" allowOverlap="1">
                <wp:simplePos x="0" y="0"/>
                <wp:positionH relativeFrom="column">
                  <wp:posOffset>1487804</wp:posOffset>
                </wp:positionH>
                <wp:positionV relativeFrom="paragraph">
                  <wp:posOffset>595630</wp:posOffset>
                </wp:positionV>
                <wp:extent cx="241935" cy="952"/>
                <wp:effectExtent l="0" t="0" r="0" b="0"/>
                <wp:wrapNone/>
                <wp:docPr id="1" name="直接箭头连接符 3"/>
                <wp:cNvGraphicFramePr>
                  <a:graphicFrameLocks noChangeAspect="0"/>
                </wp:cNvGraphicFramePr>
                <a:graphic>
                  <a:graphicData uri="http://schemas.microsoft.com/office/word/2010/wordprocessingShape">
                    <wps:wsp>
                      <wps:cNvSpPr/>
                      <wps:spPr>
                        <a:xfrm rot="0">
                          <a:off x="2630804" y="5076191"/>
                          <a:ext cx="241935" cy="952"/>
                        </a:xfrm>
                        <a:prstGeom prst="straightConnector1"/>
                        <a:noFill/>
                        <a:ln w="12700" cmpd="sng" cap="flat">
                          <a:solidFill>
                            <a:srgbClr val="5B9BD5"/>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3 2" o:spid="_x0000_s2" filled="f" stroked="t" strokeweight="1.0pt" style="position:absolute;margin-left:117.14992pt;margin-top:46.90006pt;width:19.050003pt;height:0.074977875pt;z-index:19;mso-position-horizontal:absolute;mso-position-vertical:absolute;mso-wrap-distance-left:8.999863pt;mso-wrap-distance-right:8.999863pt;">
                <v:stroke color="#5B9BD5" endarrow="open"/>
              </v:shape>
            </w:pict>
          </mc:Fallback>
        </mc:AlternateContent>
      </w:r>
      <w:r>
        <w:rPr>
          <w:rFonts w:ascii="仿宋" w:eastAsia="仿宋" w:cs="仿宋" w:hint="eastAsia"/>
          <w:sz w:val="32"/>
        </w:rPr>
        <mc:AlternateContent>
          <mc:Choice Requires="wps">
            <w:drawing>
              <wp:anchor distT="0" distB="0" distL="114298" distR="114298" simplePos="0" relativeHeight="17" behindDoc="0" locked="0" layoutInCell="1" hidden="0" allowOverlap="1">
                <wp:simplePos x="0" y="0"/>
                <wp:positionH relativeFrom="column">
                  <wp:posOffset>3195954</wp:posOffset>
                </wp:positionH>
                <wp:positionV relativeFrom="paragraph">
                  <wp:posOffset>235584</wp:posOffset>
                </wp:positionV>
                <wp:extent cx="173355" cy="17780"/>
                <wp:effectExtent l="0" t="0" r="0" b="0"/>
                <wp:wrapNone/>
                <wp:docPr id="3" name="直接箭头连接符 2"/>
                <wp:cNvGraphicFramePr>
                  <a:graphicFrameLocks noChangeAspect="0"/>
                </wp:cNvGraphicFramePr>
                <a:graphic>
                  <a:graphicData uri="http://schemas.microsoft.com/office/word/2010/wordprocessingShape">
                    <wps:wsp>
                      <wps:cNvSpPr/>
                      <wps:spPr>
                        <a:xfrm rot="0">
                          <a:off x="4338954" y="4716145"/>
                          <a:ext cx="173355" cy="17780"/>
                        </a:xfrm>
                        <a:prstGeom prst="straightConnector1"/>
                        <a:noFill/>
                        <a:ln w="12700" cmpd="sng" cap="flat">
                          <a:solidFill>
                            <a:srgbClr val="5B9BD5"/>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2 4" o:spid="_x0000_s4" filled="f" stroked="t" strokeweight="1.0pt" style="position:absolute;margin-left:251.64998pt;margin-top:18.549995pt;width:13.650009pt;height:1.4000034pt;z-index:17;mso-position-horizontal:absolute;mso-position-vertical:absolute;mso-wrap-distance-left:8.999863pt;mso-wrap-distance-right:8.999863pt;">
                <v:stroke color="#5B9BD5" endarrow="open"/>
              </v:shape>
            </w:pict>
          </mc:Fallback>
        </mc:AlternateContent>
      </w:r>
      <w:r>
        <w:rPr>
          <w:rFonts w:ascii="仿宋" w:eastAsia="仿宋" w:cs="仿宋" w:hint="eastAsia"/>
          <w:sz w:val="32"/>
        </w:rPr>
        <mc:AlternateContent>
          <mc:Choice Requires="wps">
            <w:drawing>
              <wp:anchor distT="0" distB="0" distL="114298" distR="114298" simplePos="0" relativeHeight="15" behindDoc="0" locked="0" layoutInCell="1" hidden="0" allowOverlap="1">
                <wp:simplePos x="0" y="0"/>
                <wp:positionH relativeFrom="column">
                  <wp:posOffset>1014095</wp:posOffset>
                </wp:positionH>
                <wp:positionV relativeFrom="paragraph">
                  <wp:posOffset>227330</wp:posOffset>
                </wp:positionV>
                <wp:extent cx="181609" cy="952"/>
                <wp:effectExtent l="0" t="0" r="0" b="0"/>
                <wp:wrapNone/>
                <wp:docPr id="5" name="直接箭头连接符 1"/>
                <wp:cNvGraphicFramePr>
                  <a:graphicFrameLocks noChangeAspect="0"/>
                </wp:cNvGraphicFramePr>
                <a:graphic>
                  <a:graphicData uri="http://schemas.microsoft.com/office/word/2010/wordprocessingShape">
                    <wps:wsp>
                      <wps:cNvSpPr/>
                      <wps:spPr>
                        <a:xfrm rot="0">
                          <a:off x="2157095" y="4707890"/>
                          <a:ext cx="181609" cy="952"/>
                        </a:xfrm>
                        <a:prstGeom prst="straightConnector1"/>
                        <a:noFill/>
                        <a:ln w="12700" cmpd="sng" cap="flat">
                          <a:solidFill>
                            <a:srgbClr val="5B9BD5"/>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1 6" o:spid="_x0000_s6" filled="f" stroked="t" strokeweight="1.0pt" style="position:absolute;margin-left:79.850006pt;margin-top:17.900003pt;width:14.299995pt;height:0.07497978pt;z-index:15;mso-position-horizontal:absolute;mso-position-vertical:absolute;mso-wrap-distance-left:8.999863pt;mso-wrap-distance-right:8.999863pt;">
                <v:stroke color="#5B9BD5" endarrow="open"/>
              </v:shape>
            </w:pict>
          </mc:Fallback>
        </mc:AlternateContent>
      </w:r>
      <w:r>
        <w:rPr>
          <w:rFonts w:ascii="仿宋" w:eastAsia="仿宋" w:cs="仿宋" w:hint="eastAsia"/>
          <w:sz w:val="32"/>
        </w:rPr>
        <mc:AlternateContent>
          <mc:Choice Requires="wps">
            <w:drawing>
              <wp:anchor distT="0" distB="0" distL="114298" distR="114298" simplePos="0" relativeHeight="21" behindDoc="0" locked="0" layoutInCell="1" hidden="0" allowOverlap="1">
                <wp:simplePos x="0" y="0"/>
                <wp:positionH relativeFrom="column">
                  <wp:posOffset>3181984</wp:posOffset>
                </wp:positionH>
                <wp:positionV relativeFrom="paragraph">
                  <wp:posOffset>1008380</wp:posOffset>
                </wp:positionV>
                <wp:extent cx="241935" cy="952"/>
                <wp:effectExtent l="0" t="0" r="0" b="0"/>
                <wp:wrapNone/>
                <wp:docPr id="7" name="直接箭头连接符 5"/>
                <wp:cNvGraphicFramePr>
                  <a:graphicFrameLocks noChangeAspect="0"/>
                </wp:cNvGraphicFramePr>
                <a:graphic>
                  <a:graphicData uri="http://schemas.microsoft.com/office/word/2010/wordprocessingShape">
                    <wps:wsp>
                      <wps:cNvSpPr/>
                      <wps:spPr>
                        <a:xfrm rot="0">
                          <a:off x="4324985" y="5488940"/>
                          <a:ext cx="241935" cy="952"/>
                        </a:xfrm>
                        <a:prstGeom prst="straightConnector1"/>
                        <a:noFill/>
                        <a:ln w="12700" cmpd="sng" cap="flat">
                          <a:solidFill>
                            <a:srgbClr val="5B9BD5"/>
                          </a:solidFill>
                          <a:prstDash val="solid"/>
                          <a:round/>
                          <a:tailEnd type="arrow" w="med" len="med"/>
                        </a:ln>
                      </wps:spPr>
                      <wps:bodyPr vert="horz" wrap="square" lIns="91440" tIns="45720" rIns="91440" bIns="45720" anchor="t" anchorCtr="0" upright="1">
                        <a:noAutofit/>
                      </wps:bodyPr>
                    </wps:wsp>
                  </a:graphicData>
                </a:graphic>
              </wp:anchor>
            </w:drawing>
          </mc:Choice>
          <mc:Fallback>
            <w:pict>
              <v:shape type="#_x0000_t32" id="直接箭头连接符 5 8" o:spid="_x0000_s8" filled="f" stroked="t" strokeweight="1.0pt" style="position:absolute;margin-left:250.54999pt;margin-top:79.40001pt;width:19.050018pt;height:0.07497406pt;z-index:21;mso-position-horizontal:absolute;mso-position-vertical:absolute;mso-wrap-distance-left:8.999863pt;mso-wrap-distance-right:8.999863pt;">
                <v:stroke color="#5B9BD5" endarrow="open"/>
              </v:shape>
            </w:pict>
          </mc:Fallback>
        </mc:AlternateContent>
      </w:r>
      <w:r>
        <w:rPr>
          <w:rFonts w:ascii="仿宋" w:eastAsia="仿宋" w:cs="仿宋" w:hint="eastAsia"/>
          <w:i w:val="0"/>
          <w:iCs w:val="0"/>
          <w:caps w:val="0"/>
          <w:smallCaps w:val="0"/>
          <w:color w:val="333333"/>
          <w:spacing w:val="0"/>
          <w:sz w:val="32"/>
          <w:szCs w:val="32"/>
          <w:shd w:val="clear" w:color="auto" w:fill="FFFFFF"/>
          <w:lang w:val="en-US" w:eastAsia="zh-CN"/>
        </w:rPr>
        <w:t>挂号</w:t>
      </w:r>
      <w:r>
        <w:rPr>
          <w:rFonts w:ascii="仿宋" w:eastAsia="仿宋" w:cs="仿宋" w:hint="eastAsia"/>
          <w:i w:val="0"/>
          <w:iCs w:val="0"/>
          <w:caps w:val="0"/>
          <w:smallCaps w:val="0"/>
          <w:color w:val="000000"/>
          <w:spacing w:val="0"/>
          <w:sz w:val="32"/>
          <w:szCs w:val="32"/>
          <w:shd w:val="clear" w:color="auto" w:fill="FFFFFF"/>
          <w:lang w:val="en-US" w:eastAsia="zh-CN"/>
        </w:rPr>
        <w:t xml:space="preserve">  </w:t>
      </w:r>
      <w:r>
        <w:rPr>
          <w:rFonts w:ascii="仿宋" w:eastAsia="仿宋" w:cs="仿宋" w:hint="eastAsia"/>
          <w:i w:val="0"/>
          <w:iCs w:val="0"/>
          <w:caps w:val="0"/>
          <w:smallCaps w:val="0"/>
          <w:color w:val="333333"/>
          <w:spacing w:val="0"/>
          <w:sz w:val="32"/>
          <w:szCs w:val="32"/>
          <w:shd w:val="clear" w:color="auto" w:fill="FFFFFF"/>
          <w:lang w:val="en-US" w:eastAsia="zh-CN"/>
        </w:rPr>
        <w:t>就诊（出示慢性病卡） 医生经诊治后，开具慢性病电子处方   医疗服务监督窗口审批（政策范围内给予报销，审批不通过告知病人自费）  缴费（至人工窗口出示医保卡或医保电子凭证进行医保报销）</w:t>
      </w:r>
    </w:p>
    <w:p>
      <w:pPr>
        <w:tabs>
          <w:tab w:val="left" w:pos="2619"/>
          <w:tab w:val="left" w:pos="6588"/>
        </w:tabs>
        <w:adjustRightInd w:val="0"/>
        <w:jc w:val="left"/>
        <w:rPr>
          <w:rFonts w:ascii="黑体" w:eastAsia="黑体" w:cs="华文楷体" w:hint="eastAsia"/>
          <w:bCs/>
          <w:sz w:val="32"/>
          <w:szCs w:val="32"/>
          <w:lang w:eastAsia="zh-CN"/>
        </w:rPr>
      </w:pPr>
      <w:r>
        <w:rPr>
          <w:rFonts w:ascii="黑体" w:eastAsia="黑体" w:cs="华文楷体"/>
          <w:bCs/>
          <w:sz w:val="32"/>
          <w:szCs w:val="32"/>
          <w:lang w:eastAsia="zh-CN"/>
        </w:rPr>
        <w:t>二、</w:t>
      </w:r>
      <w:r>
        <w:rPr>
          <w:rFonts w:ascii="黑体" w:eastAsia="黑体" w:cs="华文楷体" w:hint="eastAsia"/>
          <w:bCs/>
          <w:sz w:val="32"/>
          <w:szCs w:val="32"/>
          <w:lang w:eastAsia="zh-CN"/>
        </w:rPr>
        <w:t>门诊特殊慢性病病种及</w:t>
      </w:r>
      <w:r>
        <w:rPr>
          <w:rFonts w:ascii="黑体" w:eastAsia="黑体" w:cs="华文楷体"/>
          <w:bCs/>
          <w:sz w:val="32"/>
          <w:szCs w:val="32"/>
          <w:lang w:eastAsia="zh-CN"/>
        </w:rPr>
        <w:t>医疗待遇</w:t>
      </w:r>
      <w:bookmarkStart w:id="0" w:name="_GoBack"/>
      <w:bookmarkEnd w:id="0"/>
    </w:p>
    <w:p>
      <w:pPr>
        <w:tabs>
          <w:tab w:val="left" w:pos="2619"/>
          <w:tab w:val="left" w:pos="6588"/>
        </w:tabs>
        <w:adjustRightInd w:val="0"/>
        <w:ind w:left="0" w:firstLineChars="200" w:firstLine="640"/>
        <w:jc w:val="left"/>
        <w:rPr>
          <w:rFonts w:ascii="仿宋" w:eastAsia="仿宋" w:cs="仿宋"/>
          <w:b w:val="0"/>
          <w:bCs/>
          <w:sz w:val="32"/>
          <w:szCs w:val="32"/>
          <w:lang w:val="en-US" w:eastAsia="zh-CN"/>
        </w:rPr>
      </w:pPr>
      <w:r>
        <w:rPr>
          <w:rFonts w:ascii="仿宋" w:eastAsia="仿宋" w:cs="仿宋" w:hint="eastAsia"/>
          <w:b w:val="0"/>
          <w:bCs/>
          <w:sz w:val="32"/>
          <w:szCs w:val="32"/>
          <w:lang w:val="en-US" w:eastAsia="zh-CN"/>
        </w:rPr>
        <w:t>全市职工基本医疗保险、城乡居民基本医疗保险执行统一的门诊慢性病、特殊病病种及认定标准。</w:t>
      </w:r>
    </w:p>
    <w:p>
      <w:pPr>
        <w:tabs>
          <w:tab w:val="left" w:pos="2619"/>
          <w:tab w:val="left" w:pos="6588"/>
        </w:tabs>
        <w:adjustRightInd w:val="0"/>
        <w:ind w:left="0" w:firstLineChars="200" w:firstLine="640"/>
        <w:jc w:val="left"/>
        <w:rPr>
          <w:rFonts w:ascii="仿宋" w:eastAsia="仿宋" w:cs="仿宋" w:hint="eastAsia"/>
          <w:b w:val="0"/>
          <w:bCs/>
          <w:sz w:val="32"/>
          <w:szCs w:val="32"/>
          <w:lang w:eastAsia="zh-CN"/>
        </w:rPr>
      </w:pPr>
      <w:r>
        <w:rPr>
          <w:rFonts w:ascii="仿宋" w:eastAsia="仿宋" w:cs="仿宋" w:hint="eastAsia"/>
          <w:b w:val="0"/>
          <w:bCs/>
          <w:sz w:val="32"/>
          <w:szCs w:val="32"/>
          <w:lang w:eastAsia="zh-CN"/>
        </w:rPr>
        <w:t>①第一类9种:恶性肿瘤门诊治疗(含白血病)、系统性红斑狼疮、地中海贫血(含输血)、再生障碍性贫血、血友病、帕金森氏综合症、慢性肾功能衰竭(尿毒症期)、器官移植抗排异治疗(肾移植抗排异治疗、骨髓移植抗排异治疗、心移植抗排异治疗、肝移植抗排异治疗、肺移植抗排异治疗、肝肾移植抗排异治疗)、耐多药肺结核。</w:t>
      </w:r>
    </w:p>
    <w:p>
      <w:pPr>
        <w:tabs>
          <w:tab w:val="left" w:pos="2619"/>
          <w:tab w:val="left" w:pos="6588"/>
        </w:tabs>
        <w:adjustRightInd w:val="0"/>
        <w:spacing w:line="480" w:lineRule="auto"/>
        <w:ind w:left="0" w:firstLineChars="200" w:firstLine="640"/>
        <w:jc w:val="left"/>
        <w:rPr>
          <w:rFonts w:ascii="仿宋" w:eastAsia="仿宋" w:cs="仿宋"/>
          <w:bCs/>
          <w:sz w:val="32"/>
          <w:szCs w:val="32"/>
          <w:lang w:eastAsia="zh-CN"/>
        </w:rPr>
      </w:pPr>
      <w:r>
        <w:rPr>
          <w:rFonts w:ascii="仿宋" w:eastAsia="仿宋" w:cs="仿宋" w:hint="eastAsia"/>
          <w:b w:val="0"/>
          <w:bCs/>
          <w:sz w:val="32"/>
          <w:szCs w:val="32"/>
          <w:lang w:eastAsia="zh-CN"/>
        </w:rPr>
        <w:t>②第二类2</w:t>
      </w:r>
      <w:r>
        <w:rPr>
          <w:rFonts w:ascii="仿宋" w:eastAsia="仿宋" w:cs="仿宋"/>
          <w:b w:val="0"/>
          <w:bCs/>
          <w:sz w:val="32"/>
          <w:szCs w:val="32"/>
          <w:lang w:eastAsia="zh-CN"/>
        </w:rPr>
        <w:t>8</w:t>
      </w:r>
      <w:r>
        <w:rPr>
          <w:rFonts w:ascii="仿宋" w:eastAsia="仿宋" w:cs="仿宋" w:hint="eastAsia"/>
          <w:b w:val="0"/>
          <w:bCs/>
          <w:sz w:val="32"/>
          <w:szCs w:val="32"/>
          <w:lang w:eastAsia="zh-CN"/>
        </w:rPr>
        <w:t>种: 重性精神病、</w:t>
      </w:r>
      <w:r>
        <w:rPr>
          <w:rFonts w:ascii="仿宋" w:eastAsia="仿宋" w:cs="仿宋"/>
          <w:b w:val="0"/>
          <w:bCs/>
          <w:sz w:val="32"/>
          <w:szCs w:val="32"/>
          <w:lang w:eastAsia="zh-CN"/>
        </w:rPr>
        <w:t>儿童生长激素缺乏症、</w:t>
      </w:r>
      <w:r>
        <w:rPr>
          <w:rFonts w:ascii="仿宋" w:eastAsia="仿宋" w:cs="仿宋" w:hint="eastAsia"/>
          <w:b w:val="0"/>
          <w:bCs/>
          <w:sz w:val="32"/>
          <w:szCs w:val="32"/>
          <w:lang w:eastAsia="zh-CN"/>
        </w:rPr>
        <w:t>高血压伴有并发症、冠心病、慢性心力衰竭、心肌病、糖尿病伴</w:t>
      </w:r>
      <w:r>
        <w:rPr>
          <w:rFonts w:ascii="仿宋" w:eastAsia="仿宋" w:cs="仿宋" w:hint="eastAsia"/>
          <w:bCs/>
          <w:sz w:val="32"/>
          <w:szCs w:val="32"/>
          <w:lang w:eastAsia="zh-CN"/>
        </w:rPr>
        <w:t>有并发症、慢性支气管炎、慢性阻塞性肺疾病、支气管哮喘、癫痫、脑卒中、重症肌无力、慢性肝炎、肝硬化、慢性肾脏病、结核、精神病、心房颤动、</w:t>
      </w:r>
      <w:r>
        <w:rPr>
          <w:rFonts w:ascii="仿宋" w:eastAsia="仿宋" w:cs="仿宋"/>
          <w:bCs/>
          <w:sz w:val="32"/>
          <w:szCs w:val="32"/>
          <w:lang w:eastAsia="zh-CN"/>
        </w:rPr>
        <w:t>儿童孤独症、</w:t>
      </w:r>
      <w:r>
        <w:rPr>
          <w:rFonts w:ascii="仿宋" w:eastAsia="仿宋" w:cs="仿宋" w:hint="eastAsia"/>
          <w:bCs/>
          <w:sz w:val="32"/>
          <w:szCs w:val="32"/>
          <w:lang w:eastAsia="zh-CN"/>
        </w:rPr>
        <w:t>克罗恩病、强直性脊柱炎、重度骨质疏松症、阿尔茨海默病、类风湿性关节炎、青光眼、系统性硬皮病、血吸虫病。</w:t>
      </w:r>
    </w:p>
    <w:p>
      <w:pPr>
        <w:tabs>
          <w:tab w:val="left" w:pos="2619"/>
          <w:tab w:val="left" w:pos="6588"/>
        </w:tabs>
        <w:adjustRightInd w:val="0"/>
        <w:spacing w:line="480" w:lineRule="auto"/>
        <w:ind w:left="0" w:firstLineChars="200" w:firstLine="640"/>
        <w:jc w:val="left"/>
        <w:rPr>
          <w:rFonts w:ascii="仿宋" w:eastAsia="仿宋" w:cs="仿宋"/>
          <w:bCs/>
          <w:sz w:val="32"/>
          <w:szCs w:val="32"/>
          <w:lang w:eastAsia="zh-CN"/>
        </w:rPr>
      </w:pPr>
      <w:r>
        <w:rPr>
          <w:rFonts w:ascii="仿宋" w:eastAsia="仿宋" w:cs="仿宋" w:hint="eastAsia"/>
          <w:bCs/>
          <w:sz w:val="32"/>
          <w:szCs w:val="32"/>
          <w:lang w:eastAsia="zh-CN"/>
        </w:rPr>
        <w:t>符合门诊慢特病认定条件的参保人员，自申请认定通过后方可享受门诊慢特病保障待遇。</w:t>
      </w:r>
    </w:p>
    <w:p>
      <w:pPr>
        <w:tabs>
          <w:tab w:val="left" w:pos="2619"/>
          <w:tab w:val="left" w:pos="6588"/>
        </w:tabs>
        <w:adjustRightInd w:val="0"/>
        <w:spacing w:line="480" w:lineRule="auto"/>
        <w:ind w:left="0" w:firstLineChars="200" w:firstLine="640"/>
        <w:jc w:val="left"/>
        <w:rPr>
          <w:rFonts w:ascii="仿宋" w:eastAsia="仿宋"/>
          <w:b w:val="0"/>
          <w:bCs w:val="0"/>
          <w:color w:val="auto"/>
          <w:sz w:val="32"/>
          <w:szCs w:val="32"/>
        </w:rPr>
      </w:pPr>
      <w:r>
        <w:rPr>
          <w:rFonts w:ascii="仿宋" w:eastAsia="仿宋" w:hint="eastAsia"/>
          <w:b w:val="0"/>
          <w:bCs w:val="0"/>
          <w:color w:val="auto"/>
          <w:sz w:val="32"/>
          <w:szCs w:val="32"/>
        </w:rPr>
        <w:t xml:space="preserve">门诊慢特病参保人员在门诊发生的政策范围内医疗费用不再设置起付线，分别按城镇职工基本医疗保险和城乡居民基本医疗保险规定的住院支付比例进行报销。 </w:t>
      </w:r>
    </w:p>
    <w:p>
      <w:pPr>
        <w:tabs>
          <w:tab w:val="left" w:pos="2619"/>
          <w:tab w:val="left" w:pos="6588"/>
        </w:tabs>
        <w:adjustRightInd w:val="0"/>
        <w:spacing w:line="480" w:lineRule="auto"/>
        <w:ind w:left="0" w:firstLineChars="200" w:firstLine="640"/>
        <w:jc w:val="left"/>
        <w:rPr>
          <w:rFonts w:ascii="仿宋" w:eastAsia="仿宋"/>
          <w:b w:val="0"/>
          <w:bCs w:val="0"/>
          <w:color w:val="auto"/>
          <w:sz w:val="32"/>
          <w:szCs w:val="32"/>
        </w:rPr>
      </w:pPr>
      <w:r>
        <w:rPr>
          <w:rFonts w:ascii="仿宋" w:eastAsia="仿宋" w:hint="eastAsia"/>
          <w:b w:val="0"/>
          <w:bCs w:val="0"/>
          <w:color w:val="auto"/>
          <w:sz w:val="32"/>
          <w:szCs w:val="32"/>
        </w:rPr>
        <w:t>门诊慢特病参保人员跨省异地就医的，按照跨省异地就医有关住院报销政策执行。</w:t>
      </w:r>
    </w:p>
    <w:p>
      <w:pPr>
        <w:tabs>
          <w:tab w:val="left" w:pos="2619"/>
          <w:tab w:val="left" w:pos="6588"/>
        </w:tabs>
        <w:adjustRightInd w:val="0"/>
        <w:spacing w:line="480" w:lineRule="auto"/>
        <w:ind w:left="0" w:firstLineChars="200" w:firstLine="640"/>
        <w:jc w:val="left"/>
        <w:rPr>
          <w:rFonts w:ascii="仿宋" w:eastAsia="仿宋"/>
          <w:b w:val="0"/>
          <w:bCs w:val="0"/>
          <w:color w:val="auto"/>
          <w:sz w:val="32"/>
          <w:szCs w:val="32"/>
        </w:rPr>
      </w:pPr>
      <w:r>
        <w:rPr>
          <w:rFonts w:ascii="宋体" w:eastAsia="宋体" w:hint="eastAsia"/>
          <w:b w:val="0"/>
          <w:bCs w:val="0"/>
          <w:color w:val="auto"/>
          <w:sz w:val="32"/>
          <w:szCs w:val="32"/>
        </w:rPr>
        <w:t>Ⅰ</w:t>
      </w:r>
      <w:r>
        <w:rPr>
          <w:rFonts w:ascii="仿宋" w:eastAsia="仿宋" w:hint="eastAsia"/>
          <w:b w:val="0"/>
          <w:bCs w:val="0"/>
          <w:color w:val="auto"/>
          <w:sz w:val="32"/>
          <w:szCs w:val="32"/>
        </w:rPr>
        <w:t>类门诊慢特病年度最高支付限额不设具体金额，与住院统筹基金年度最高支付限额合并计算；</w:t>
      </w:r>
      <w:r>
        <w:rPr>
          <w:rFonts w:ascii="宋体" w:eastAsia="宋体" w:hint="eastAsia"/>
          <w:b w:val="0"/>
          <w:bCs w:val="0"/>
          <w:color w:val="auto"/>
          <w:sz w:val="32"/>
          <w:szCs w:val="32"/>
        </w:rPr>
        <w:t>Ⅱ</w:t>
      </w:r>
      <w:r>
        <w:rPr>
          <w:rFonts w:ascii="仿宋" w:eastAsia="仿宋" w:hint="eastAsia"/>
          <w:b w:val="0"/>
          <w:bCs w:val="0"/>
          <w:color w:val="auto"/>
          <w:sz w:val="32"/>
          <w:szCs w:val="32"/>
        </w:rPr>
        <w:t xml:space="preserve"> 类慢性病年度最高支付限额按病种分别确定，与住院统筹基金年度最高 支付限额合并计算。 </w:t>
      </w:r>
    </w:p>
    <w:p>
      <w:pPr>
        <w:tabs>
          <w:tab w:val="left" w:pos="2619"/>
          <w:tab w:val="left" w:pos="6588"/>
        </w:tabs>
        <w:adjustRightInd w:val="0"/>
        <w:spacing w:line="480" w:lineRule="auto"/>
        <w:ind w:left="0" w:firstLineChars="200" w:firstLine="640"/>
        <w:jc w:val="left"/>
        <w:rPr>
          <w:rFonts w:ascii="仿宋" w:eastAsia="仿宋" w:cs="仿宋" w:hint="eastAsia"/>
          <w:bCs/>
          <w:sz w:val="32"/>
          <w:szCs w:val="32"/>
          <w:lang w:eastAsia="zh-CN"/>
        </w:rPr>
      </w:pPr>
      <w:r>
        <w:rPr>
          <w:rFonts w:ascii="仿宋" w:eastAsia="仿宋" w:hint="eastAsia"/>
          <w:b w:val="0"/>
          <w:bCs w:val="0"/>
          <w:color w:val="auto"/>
          <w:sz w:val="32"/>
          <w:szCs w:val="32"/>
        </w:rPr>
        <w:t>办理了多个</w:t>
      </w:r>
      <w:r>
        <w:rPr>
          <w:rFonts w:ascii="宋体" w:eastAsia="宋体" w:hint="eastAsia"/>
          <w:b w:val="0"/>
          <w:bCs w:val="0"/>
          <w:color w:val="auto"/>
          <w:sz w:val="32"/>
          <w:szCs w:val="32"/>
        </w:rPr>
        <w:t>Ⅱ</w:t>
      </w:r>
      <w:r>
        <w:rPr>
          <w:rFonts w:ascii="仿宋" w:eastAsia="仿宋" w:hint="eastAsia"/>
          <w:b w:val="0"/>
          <w:bCs w:val="0"/>
          <w:color w:val="auto"/>
          <w:sz w:val="32"/>
          <w:szCs w:val="32"/>
        </w:rPr>
        <w:t xml:space="preserve">类门诊慢特病的，职工医保年度基金最高支付限额不超过 10000 元，重性精神病、克罗恩病、系统性硬皮病限额单独计算，不纳入多病种限额；居民医保年度基金最高支付限额不超过7000 元，重性精神病、儿童孤独症、克罗恩病、系统性硬皮病限额单独计算，不纳入多病种限额。  </w:t>
      </w:r>
    </w:p>
    <w:p>
      <w:pPr>
        <w:spacing w:line="460" w:lineRule="exact"/>
        <w:ind w:firstLineChars="200" w:firstLine="560"/>
        <w:rPr>
          <w:rFonts w:ascii="仿宋" w:eastAsia="仿宋" w:cs="仿宋"/>
          <w:b w:val="0"/>
          <w:bCs/>
          <w:sz w:val="28"/>
          <w:szCs w:val="28"/>
          <w:lang w:val="en-US" w:eastAsia="zh-CN"/>
        </w:rPr>
      </w:pP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华文楷体">
    <w:altName w:val="宋体"/>
    <w:panose1 w:val="02010600040101010101"/>
    <w:charset w:val="86"/>
    <w:family w:val="auto"/>
    <w:pitch w:val="variable"/>
    <w:sig w:usb0="00000000" w:usb1="00000000" w:usb2="00000000" w:usb3="00000000" w:csb0="0004009F" w:csb1="DFD70000"/>
  </w:font>
  <w:font w:name="仿宋">
    <w:panose1 w:val="02010609060101010101"/>
    <w:charset w:val="86"/>
    <w:family w:val="modern"/>
    <w:pitch w:val="variable"/>
    <w:sig w:usb0="800002BF" w:usb1="38CF7CFA" w:usb2="00000016" w:usb3="00000000" w:csb0="00040001" w:csb1="00000000"/>
  </w:font>
  <w:font w:name="宋体">
    <w:panose1 w:val="02010600030101010101"/>
    <w:charset w:val="50"/>
    <w:family w:val="auto"/>
    <w:pitch w:val="variable"/>
    <w:sig w:usb0="00000203" w:usb1="288F0000" w:usb2="00000006" w:usb3="00000000" w:csb0="00040001" w:csb1="00000000"/>
  </w:font>
  <w:font w:name="Times New Roman">
    <w:panose1 w:val="02020603050405020304"/>
    <w:charset w:val="86"/>
    <w:family w:val="auto"/>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Arial">
    <w:panose1 w:val="020B0604020202020204"/>
    <w:charset w:val="01"/>
    <w:family w:val="swiss"/>
    <w:pitch w:val="variable"/>
    <w:sig w:usb0="E0002EFF" w:usb1="C000785B" w:usb2="00000009" w:usb3="00000000" w:csb0="400001FF" w:csb1="FFFF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MGFhZjI1MjRjM2MzNzdjODBjMmQ2NTE0ZmQ0NjFmOTQ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4"/>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header"/>
    <w:qFormat/>
    <w:basedOn w:val="0"/>
    <w:pPr>
      <w:pBdr>
        <w:bottom w:val="single" w:sz="6" w:space="1" w:color="auto"/>
      </w:pBdr>
      <w:tabs>
        <w:tab w:val="center" w:pos="4153"/>
        <w:tab w:val="right" w:pos="8306"/>
      </w:tabs>
      <w:snapToGrid w:val="0"/>
      <w:jc w:val="center"/>
    </w:pPr>
    <w:rPr>
      <w:sz w:val="18"/>
      <w:szCs w:val="18"/>
    </w:rPr>
  </w:style>
  <w:style w:type="paragraph" w:styleId="16">
    <w:name w:val="Normal (Web)"/>
    <w:qFormat/>
    <w:basedOn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85</TotalTime>
  <Application>Yozo_Office27021597764231180</Application>
  <Pages>3</Pages>
  <Words>0</Words>
  <Characters>784</Characters>
  <Lines>0</Lines>
  <Paragraphs>15</Paragraphs>
  <CharactersWithSpaces>1046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Chinalife</dc:creator>
  <cp:lastModifiedBy>ybb</cp:lastModifiedBy>
  <cp:revision>0</cp:revision>
  <cp:lastPrinted>2022-11-15T00:30:00Z</cp:lastPrinted>
  <dcterms:created xsi:type="dcterms:W3CDTF">2022-11-11T07:00:00Z</dcterms:created>
  <dcterms:modified xsi:type="dcterms:W3CDTF">2024-12-20T08:34:37Z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ICV">
    <vt:lpwstr>74A828D649FE45149C0E1FCD6D9BFBA1</vt:lpwstr>
  </property>
</Properties>
</file>